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u w:val="single"/>
        </w:rPr>
      </w:pPr>
      <w:r w:rsidDel="00000000" w:rsidR="00000000" w:rsidRPr="00000000">
        <w:rPr>
          <w:sz w:val="36"/>
          <w:szCs w:val="36"/>
          <w:u w:val="single"/>
          <w:rtl w:val="0"/>
        </w:rPr>
        <w:t xml:space="preserve">Weekly Instructional Plan</w:t>
      </w:r>
    </w:p>
    <w:p w:rsidR="00000000" w:rsidDel="00000000" w:rsidP="00000000" w:rsidRDefault="00000000" w:rsidRPr="00000000" w14:paraId="00000002">
      <w:pPr>
        <w:jc w:val="center"/>
        <w:rPr>
          <w:sz w:val="36"/>
          <w:szCs w:val="36"/>
          <w:u w:val="single"/>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Math: We are still learning about equivalent fractions. Students are learning their multiplication facts and have a timed test every Friday. Look in the agenda for which ones he/she is working on.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Students are also working on adding and subtracting. They are practicing with their 100 chart.</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ELA: Students are learning about statements and questions. They practice writing good sentences. Editing is also a focus of the students in their writing process. </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They have a spelling test weekly and we are still pulling words for our “Commonly Misspelled List”. The students also have a DOL quiz every Friday.</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Reading: Students are finding the main idea of their passages. They are also using context clues to figure out unknown words. They are working on using strategies and proving their answers in the passages.</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Each student has a Read Naturally story. Listen to them read it nightly. We are seeing great improvement.</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